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harts/chart2.xml" ContentType="application/vnd.openxmlformats-officedocument.drawingml.chart+xml"/>
  <Override PartName="/word/charts/chart1.xml" ContentType="application/vnd.openxmlformats-officedocument.drawingml.chart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bidi w:val="0"/>
        <w:jc w:val="center"/>
        <w:rPr/>
      </w:pPr>
      <w:r/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2"/>
          <w:u w:val="none"/>
          <w:em w:val="none"/>
        </w:rPr>
        <w:drawing>
          <wp:inline distT="0" distB="0" distL="0" distR="0">
            <wp:extent cx="5765165" cy="3248025"/>
            <wp:effectExtent l="0" t="0" r="0" b="0"/>
            <wp:docPr id="1" name="Object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"/>
              </a:graphicData>
            </a:graphic>
          </wp:inline>
        </w:drawing>
        <w:t>Consistent growth in number of</w:t>
      </w:r>
    </w:p>
    <w:p>
      <w:pPr>
        <w:pStyle w:val="Normal"/>
        <w:bidi w:val="0"/>
        <w:jc w:val="center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2"/>
          <w:u w:val="none"/>
          <w:em w:val="none"/>
        </w:rPr>
        <w:t>Publications (2021-23)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bidi w:val="0"/>
        <w:jc w:val="center"/>
        <w:rPr/>
      </w:pPr>
      <w:r/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2"/>
          <w:u w:val="none"/>
          <w:em w:val="none"/>
        </w:rPr>
        <w:drawing>
          <wp:inline distT="0" distB="0" distL="0" distR="0">
            <wp:extent cx="6504940" cy="3295650"/>
            <wp:effectExtent l="0" t="0" r="0" b="0"/>
            <wp:docPr id="2" name="Object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"/>
              </a:graphicData>
            </a:graphic>
          </wp:inline>
        </w:drawing>
        <w:t>Number of citations for works</w:t>
      </w:r>
    </w:p>
    <w:p>
      <w:pPr>
        <w:pStyle w:val="Normal"/>
        <w:bidi w:val="0"/>
        <w:jc w:val="center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2"/>
          <w:u w:val="none"/>
          <w:em w:val="none"/>
        </w:rPr>
        <w:t>indicating the quality of work</w:t>
      </w:r>
    </w:p>
    <w:p>
      <w:pPr>
        <w:pStyle w:val="Normal"/>
        <w:bidi w:val="0"/>
        <w:jc w:val="center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2"/>
          <w:u w:val="none"/>
          <w:em w:val="none"/>
        </w:rPr>
        <w:t>Published from NIT-Raipur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5894070"/>
            <wp:effectExtent l="0" t="0" r="0" b="0"/>
            <wp:wrapSquare wrapText="largest"/>
            <wp:docPr id="3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894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1"/>
  <w:defaultTabStop w:val="4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" w:cs="Lohit Devanagari"/>
        <w:kern w:val="2"/>
        <w:sz w:val="24"/>
        <w:szCs w:val="24"/>
        <w:lang w:val="en-IN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" w:cs="Lohit Devanagari"/>
      <w:color w:val="auto"/>
      <w:kern w:val="2"/>
      <w:sz w:val="24"/>
      <w:szCs w:val="24"/>
      <w:lang w:val="en-IN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hart" Target="charts/chart1.xml"/><Relationship Id="rId3" Type="http://schemas.openxmlformats.org/officeDocument/2006/relationships/chart" Target="charts/chart2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roundedCorners val="0"/>
  <c:chart>
    <c:title>
      <c:tx>
        <c:rich>
          <a:bodyPr rot="0"/>
          <a:lstStyle/>
          <a:p>
            <a:pPr>
              <a:defRPr b="1" sz="1600" spc="-1" strike="noStrike">
                <a:solidFill>
                  <a:srgbClr val="c00000"/>
                </a:solidFill>
                <a:latin typeface="Times New Roman"/>
              </a:defRPr>
            </a:pPr>
            <a:r>
              <a:rPr b="1" sz="1600" spc="-1" strike="noStrike">
                <a:solidFill>
                  <a:srgbClr val="c00000"/>
                </a:solidFill>
                <a:latin typeface="Times New Roman"/>
              </a:rPr>
              <a:t>Publication</a:t>
            </a:r>
          </a:p>
        </c:rich>
      </c:tx>
      <c:layout>
        <c:manualLayout>
          <c:xMode val="edge"/>
          <c:yMode val="edge"/>
          <c:x val="0.414262520294742"/>
          <c:y val="0.645754821547329"/>
        </c:manualLayout>
      </c:layout>
      <c:overlay val="0"/>
      <c:spPr>
        <a:solidFill>
          <a:srgbClr val="fcd5b5"/>
        </a:solidFill>
        <a:ln>
          <a:solidFill>
            <a:srgbClr val="000000"/>
          </a:solidFill>
        </a:ln>
      </c:spPr>
    </c:title>
    <c:autoTitleDeleted val="0"/>
    <c:plotArea>
      <c:layout>
        <c:manualLayout>
          <c:layoutTarget val="inner"/>
          <c:xMode val="edge"/>
          <c:yMode val="edge"/>
          <c:x val="0.155853886980955"/>
          <c:y val="0.0247173575703835"/>
          <c:w val="0.774648766781143"/>
          <c:h val="0.795389048991354"/>
        </c:manualLayout>
      </c:layout>
      <c:scatterChart>
        <c:scatterStyle val="lineMarker"/>
        <c:varyColors val="0"/>
        <c:ser>
          <c:idx val="0"/>
          <c:order val="0"/>
          <c:tx>
            <c:strRef>
              <c:f>label 1</c:f>
              <c:strCache>
                <c:ptCount val="1"/>
                <c:pt idx="0">
                  <c:v>Publication</c:v>
                </c:pt>
              </c:strCache>
            </c:strRef>
          </c:tx>
          <c:spPr>
            <a:solidFill>
              <a:srgbClr val="000000"/>
            </a:solidFill>
            <a:ln w="28440">
              <a:solidFill>
                <a:srgbClr val="000000"/>
              </a:solidFill>
              <a:round/>
            </a:ln>
          </c:spPr>
          <c:marker>
            <c:symbol val="circle"/>
            <c:size val="8"/>
            <c:spPr>
              <a:solidFill>
                <a:srgbClr val="000000"/>
              </a:solidFill>
            </c:spPr>
          </c:marker>
          <c:dPt>
            <c:idx val="0"/>
            <c:spPr>
              <a:solidFill>
                <a:srgbClr val="000000"/>
              </a:solidFill>
              <a:ln w="28440">
                <a:solidFill>
                  <a:srgbClr val="000000"/>
                </a:solidFill>
                <a:round/>
              </a:ln>
            </c:spPr>
          </c:dPt>
          <c:dPt>
            <c:idx val="1"/>
            <c:spPr>
              <a:solidFill>
                <a:srgbClr val="000000"/>
              </a:solidFill>
              <a:ln w="28440">
                <a:solidFill>
                  <a:srgbClr val="000000"/>
                </a:solidFill>
                <a:round/>
              </a:ln>
            </c:spPr>
          </c:dPt>
          <c:dPt>
            <c:idx val="2"/>
            <c:spPr>
              <a:solidFill>
                <a:srgbClr val="000000"/>
              </a:solidFill>
              <a:ln w="28440">
                <a:solidFill>
                  <a:srgbClr val="000000"/>
                </a:solidFill>
                <a:round/>
              </a:ln>
            </c:spPr>
          </c:dPt>
          <c:dPt>
            <c:idx val="3"/>
            <c:spPr>
              <a:solidFill>
                <a:srgbClr val="000000"/>
              </a:solidFill>
              <a:ln w="28440">
                <a:solidFill>
                  <a:srgbClr val="000000"/>
                </a:solidFill>
                <a:round/>
              </a:ln>
            </c:spPr>
          </c:dPt>
          <c:dLbls>
            <c:numFmt formatCode="General" sourceLinked="1"/>
            <c:dLbl>
              <c:idx val="0"/>
              <c:dLblPos val="t"/>
              <c:showLegendKey val="0"/>
              <c:showVal val="1"/>
              <c:showCatName val="0"/>
              <c:showSerName val="0"/>
              <c:showPercent val="0"/>
            </c:dLbl>
            <c:dLbl>
              <c:idx val="1"/>
              <c:dLblPos val="t"/>
              <c:showLegendKey val="0"/>
              <c:showVal val="1"/>
              <c:showCatName val="0"/>
              <c:showSerName val="0"/>
              <c:showPercent val="0"/>
            </c:dLbl>
            <c:dLbl>
              <c:idx val="2"/>
              <c:dLblPos val="t"/>
              <c:showLegendKey val="0"/>
              <c:showVal val="1"/>
              <c:showCatName val="0"/>
              <c:showSerName val="0"/>
              <c:showPercent val="0"/>
            </c:dLbl>
            <c:dLbl>
              <c:idx val="3"/>
              <c:dLblPos val="t"/>
              <c:showLegendKey val="0"/>
              <c:showVal val="1"/>
              <c:showCatName val="0"/>
              <c:showSerName val="0"/>
              <c:showPercent val="0"/>
            </c:dLbl>
            <c:dLblPos val="r"/>
            <c:showLegendKey val="0"/>
            <c:showVal val="1"/>
            <c:showCatName val="0"/>
            <c:showSerName val="0"/>
            <c:showPercent val="0"/>
            <c:showLeaderLines val="0"/>
          </c:dLbls>
          <c:xVal>
            <c:numRef>
              <c:f>0</c:f>
              <c:numCache>
                <c:formatCode>General</c:formatCode>
                <c:ptCount val="5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</c:numCache>
            </c:numRef>
          </c:xVal>
          <c:yVal>
            <c:numRef>
              <c:f>1</c:f>
              <c:numCache>
                <c:formatCode>General</c:formatCode>
                <c:ptCount val="5"/>
                <c:pt idx="0">
                  <c:v>603</c:v>
                </c:pt>
                <c:pt idx="1">
                  <c:v>816</c:v>
                </c:pt>
                <c:pt idx="2">
                  <c:v>825</c:v>
                </c:pt>
                <c:pt idx="3">
                  <c:v>939</c:v>
                </c:pt>
                <c:pt idx="4">
                  <c:v>1017</c:v>
                </c:pt>
              </c:numCache>
            </c:numRef>
          </c:yVal>
          <c:smooth val="1"/>
        </c:ser>
        <c:axId val="74878498"/>
        <c:axId val="61105108"/>
      </c:scatterChart>
      <c:valAx>
        <c:axId val="74878498"/>
        <c:scaling>
          <c:orientation val="minMax"/>
        </c:scaling>
        <c:delete val="0"/>
        <c:axPos val="b"/>
        <c:title>
          <c:tx>
            <c:rich>
              <a:bodyPr rot="0"/>
              <a:lstStyle/>
              <a:p>
                <a:pPr>
                  <a:defRPr b="1" sz="1400" spc="-1" strike="noStrike">
                    <a:solidFill>
                      <a:srgbClr val="000000"/>
                    </a:solidFill>
                    <a:latin typeface="Times New Roman"/>
                  </a:defRPr>
                </a:pPr>
                <a:r>
                  <a:rPr b="1" sz="1400" spc="-1" strike="noStrike">
                    <a:solidFill>
                      <a:srgbClr val="000000"/>
                    </a:solidFill>
                    <a:latin typeface="Times New Roman"/>
                  </a:rPr>
                  <a:t>Year</a:t>
                </a:r>
              </a:p>
            </c:rich>
          </c:tx>
          <c:layout>
            <c:manualLayout>
              <c:xMode val="edge"/>
              <c:yMode val="edge"/>
              <c:x val="0.485075558885975"/>
              <c:y val="0.918532476169364"/>
            </c:manualLayout>
          </c:layout>
          <c:overlay val="0"/>
          <c:spPr>
            <a:noFill/>
            <a:ln>
              <a:noFill/>
            </a:ln>
          </c:spPr>
        </c:title>
        <c:numFmt formatCode="General" sourceLinked="0"/>
        <c:majorTickMark val="out"/>
        <c:minorTickMark val="none"/>
        <c:tickLblPos val="nextTo"/>
        <c:spPr>
          <a:ln w="9360">
            <a:solidFill>
              <a:srgbClr val="000000"/>
            </a:solidFill>
            <a:round/>
          </a:ln>
        </c:spPr>
        <c:txPr>
          <a:bodyPr/>
          <a:lstStyle/>
          <a:p>
            <a:pPr>
              <a:defRPr b="1" sz="1100" spc="-1" strike="noStrike">
                <a:solidFill>
                  <a:srgbClr val="000000"/>
                </a:solidFill>
                <a:latin typeface="Times New Roman"/>
              </a:defRPr>
            </a:pPr>
          </a:p>
        </c:txPr>
        <c:crossAx val="61105108"/>
        <c:crosses val="autoZero"/>
        <c:crossBetween val="midCat"/>
      </c:valAx>
      <c:valAx>
        <c:axId val="61105108"/>
        <c:scaling>
          <c:orientation val="minMax"/>
        </c:scaling>
        <c:delete val="0"/>
        <c:axPos val="l"/>
        <c:title>
          <c:tx>
            <c:rich>
              <a:bodyPr rot="-5400000"/>
              <a:lstStyle/>
              <a:p>
                <a:pPr>
                  <a:defRPr b="1" sz="1400" spc="-1" strike="noStrike">
                    <a:solidFill>
                      <a:srgbClr val="000000"/>
                    </a:solidFill>
                    <a:latin typeface="Times New Roman"/>
                  </a:defRPr>
                </a:pPr>
                <a:r>
                  <a:rPr b="1" sz="1400" spc="-1" strike="noStrike">
                    <a:solidFill>
                      <a:srgbClr val="000000"/>
                    </a:solidFill>
                    <a:latin typeface="Times New Roman"/>
                  </a:rPr>
                  <a:t>Numbers</a:t>
                </a:r>
              </a:p>
            </c:rich>
          </c:tx>
          <c:layout>
            <c:manualLayout>
              <c:xMode val="edge"/>
              <c:yMode val="edge"/>
              <c:x val="0.00549519170725615"/>
              <c:y val="0.321769009088894"/>
            </c:manualLayout>
          </c:layout>
          <c:overlay val="0"/>
          <c:spPr>
            <a:noFill/>
            <a:ln>
              <a:noFill/>
            </a:ln>
          </c:spPr>
        </c:title>
        <c:numFmt formatCode="General" sourceLinked="0"/>
        <c:majorTickMark val="out"/>
        <c:minorTickMark val="none"/>
        <c:tickLblPos val="nextTo"/>
        <c:spPr>
          <a:ln w="9360">
            <a:solidFill>
              <a:srgbClr val="000000"/>
            </a:solidFill>
            <a:round/>
          </a:ln>
        </c:spPr>
        <c:txPr>
          <a:bodyPr/>
          <a:lstStyle/>
          <a:p>
            <a:pPr>
              <a:defRPr b="1" sz="1100" spc="-1" strike="noStrike">
                <a:solidFill>
                  <a:srgbClr val="000000"/>
                </a:solidFill>
                <a:latin typeface="Times New Roman"/>
              </a:defRPr>
            </a:pPr>
          </a:p>
        </c:txPr>
        <c:crossAx val="74878498"/>
        <c:crosses val="autoZero"/>
        <c:crossBetween val="midCat"/>
      </c:valAx>
      <c:spPr>
        <a:solidFill>
          <a:srgbClr val="ffffff"/>
        </a:solidFill>
        <a:ln w="38160">
          <a:solidFill>
            <a:srgbClr val="000000"/>
          </a:solidFill>
          <a:round/>
        </a:ln>
      </c:spPr>
    </c:plotArea>
    <c:plotVisOnly val="1"/>
    <c:dispBlanksAs val="gap"/>
  </c:chart>
  <c:spPr>
    <a:solidFill>
      <a:srgbClr val="ffffff"/>
    </a:solidFill>
    <a:ln>
      <a:noFill/>
    </a:ln>
  </c:spPr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roundedCorners val="0"/>
  <c:chart>
    <c:title>
      <c:tx>
        <c:rich>
          <a:bodyPr rot="0"/>
          <a:lstStyle/>
          <a:p>
            <a:pPr>
              <a:defRPr b="1" sz="2400" spc="-1" strike="noStrike">
                <a:solidFill>
                  <a:srgbClr val="c00000"/>
                </a:solidFill>
                <a:latin typeface="Times New Roman"/>
              </a:defRPr>
            </a:pPr>
            <a:r>
              <a:rPr b="1" sz="2400" spc="-1" strike="noStrike">
                <a:solidFill>
                  <a:srgbClr val="c00000"/>
                </a:solidFill>
                <a:latin typeface="Times New Roman"/>
              </a:rPr>
              <a:t>Citation </a:t>
            </a:r>
          </a:p>
        </c:rich>
      </c:tx>
      <c:layout>
        <c:manualLayout>
          <c:xMode val="edge"/>
          <c:yMode val="edge"/>
          <c:x val="0.341579500802479"/>
          <c:y val="0.601485689316146"/>
        </c:manualLayout>
      </c:layout>
      <c:overlay val="0"/>
      <c:spPr>
        <a:solidFill>
          <a:srgbClr val="fcd5b5"/>
        </a:solidFill>
        <a:ln>
          <a:noFill/>
        </a:ln>
      </c:spPr>
    </c:title>
    <c:autoTitleDeleted val="0"/>
    <c:plotArea>
      <c:scatterChart>
        <c:scatterStyle val="lineMarker"/>
        <c:varyColors val="0"/>
        <c:ser>
          <c:idx val="0"/>
          <c:order val="0"/>
          <c:tx>
            <c:strRef>
              <c:f>label 1</c:f>
              <c:strCache>
                <c:ptCount val="1"/>
                <c:pt idx="0">
                  <c:v>Citation </c:v>
                </c:pt>
              </c:strCache>
            </c:strRef>
          </c:tx>
          <c:spPr>
            <a:solidFill>
              <a:srgbClr val="606060"/>
            </a:solidFill>
            <a:ln w="66600">
              <a:solidFill>
                <a:srgbClr val="606060"/>
              </a:solidFill>
              <a:round/>
            </a:ln>
          </c:spPr>
          <c:marker>
            <c:symbol val="square"/>
            <c:size val="5"/>
            <c:spPr>
              <a:solidFill>
                <a:srgbClr val="606060"/>
              </a:solidFill>
            </c:spPr>
          </c:marker>
          <c:dPt>
            <c:idx val="2"/>
            <c:spPr>
              <a:solidFill>
                <a:srgbClr val="606060"/>
              </a:solidFill>
              <a:ln w="66600">
                <a:solidFill>
                  <a:srgbClr val="606060"/>
                </a:solidFill>
                <a:round/>
              </a:ln>
            </c:spPr>
          </c:dPt>
          <c:dLbls>
            <c:numFmt formatCode="General" sourceLinked="1"/>
            <c:dLbl>
              <c:idx val="2"/>
              <c:dLblPos val="r"/>
              <c:showLegendKey val="0"/>
              <c:showVal val="1"/>
              <c:showCatName val="1"/>
              <c:showSerName val="0"/>
              <c:showPercent val="0"/>
            </c:dLbl>
            <c:dLblPos val="r"/>
            <c:showLegendKey val="0"/>
            <c:showVal val="0"/>
            <c:showCatName val="0"/>
            <c:showSerName val="0"/>
            <c:showPercent val="0"/>
            <c:showLeaderLines val="0"/>
          </c:dLbls>
          <c:xVal>
            <c:numRef>
              <c:f>0</c:f>
              <c:numCache>
                <c:formatCode>General</c:formatCode>
                <c:ptCount val="3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</c:numCache>
            </c:numRef>
          </c:xVal>
          <c:yVal>
            <c:numRef>
              <c:f>1</c:f>
              <c:numCache>
                <c:formatCode>General</c:formatCode>
                <c:ptCount val="3"/>
                <c:pt idx="0">
                  <c:v>25688</c:v>
                </c:pt>
                <c:pt idx="1">
                  <c:v>13294</c:v>
                </c:pt>
                <c:pt idx="2">
                  <c:v>16399</c:v>
                </c:pt>
              </c:numCache>
            </c:numRef>
          </c:yVal>
          <c:smooth val="1"/>
        </c:ser>
        <c:axId val="37970447"/>
        <c:axId val="96998979"/>
      </c:scatterChart>
      <c:valAx>
        <c:axId val="37970447"/>
        <c:scaling>
          <c:orientation val="minMax"/>
        </c:scaling>
        <c:delete val="0"/>
        <c:axPos val="b"/>
        <c:title>
          <c:tx>
            <c:rich>
              <a:bodyPr rot="0"/>
              <a:lstStyle/>
              <a:p>
                <a:pPr>
                  <a:defRPr b="1" sz="1600" spc="-1" strike="noStrike">
                    <a:solidFill>
                      <a:srgbClr val="000000"/>
                    </a:solidFill>
                    <a:latin typeface="Times New Roman"/>
                  </a:defRPr>
                </a:pPr>
                <a:r>
                  <a:rPr b="1" sz="1600" spc="-1" strike="noStrike">
                    <a:solidFill>
                      <a:srgbClr val="000000"/>
                    </a:solidFill>
                    <a:latin typeface="Times New Roman"/>
                  </a:rPr>
                  <a:t>Years</a:t>
                </a:r>
              </a:p>
            </c:rich>
          </c:tx>
          <c:overlay val="0"/>
          <c:spPr>
            <a:noFill/>
            <a:ln>
              <a:noFill/>
            </a:ln>
          </c:spPr>
        </c:title>
        <c:numFmt formatCode="General" sourceLinked="0"/>
        <c:majorTickMark val="none"/>
        <c:minorTickMark val="none"/>
        <c:tickLblPos val="nextTo"/>
        <c:spPr>
          <a:ln w="9360">
            <a:solidFill>
              <a:srgbClr val="878787"/>
            </a:solidFill>
            <a:round/>
          </a:ln>
        </c:spPr>
        <c:txPr>
          <a:bodyPr/>
          <a:lstStyle/>
          <a:p>
            <a:pPr>
              <a:defRPr b="0" sz="1000" spc="-1" strike="noStrike">
                <a:solidFill>
                  <a:srgbClr val="000000"/>
                </a:solidFill>
                <a:latin typeface="Calibri"/>
              </a:defRPr>
            </a:pPr>
          </a:p>
        </c:txPr>
        <c:crossAx val="96998979"/>
        <c:crosses val="autoZero"/>
        <c:crossBetween val="midCat"/>
      </c:valAx>
      <c:valAx>
        <c:axId val="96998979"/>
        <c:scaling>
          <c:orientation val="minMax"/>
        </c:scaling>
        <c:delete val="0"/>
        <c:axPos val="l"/>
        <c:title>
          <c:tx>
            <c:rich>
              <a:bodyPr rot="-5400000"/>
              <a:lstStyle/>
              <a:p>
                <a:pPr>
                  <a:defRPr b="1" sz="1600" spc="-1" strike="noStrike">
                    <a:solidFill>
                      <a:srgbClr val="000000"/>
                    </a:solidFill>
                    <a:latin typeface="Calibri"/>
                  </a:defRPr>
                </a:pPr>
                <a:r>
                  <a:rPr b="1" sz="1600" spc="-1" strike="noStrike">
                    <a:solidFill>
                      <a:srgbClr val="000000"/>
                    </a:solidFill>
                    <a:latin typeface="Calibri"/>
                  </a:rPr>
                  <a:t>Numbers</a:t>
                </a:r>
              </a:p>
            </c:rich>
          </c:tx>
          <c:overlay val="0"/>
          <c:spPr>
            <a:noFill/>
            <a:ln>
              <a:noFill/>
            </a:ln>
          </c:spPr>
        </c:title>
        <c:numFmt formatCode="General" sourceLinked="0"/>
        <c:majorTickMark val="none"/>
        <c:minorTickMark val="none"/>
        <c:tickLblPos val="nextTo"/>
        <c:spPr>
          <a:ln w="9360">
            <a:solidFill>
              <a:srgbClr val="878787"/>
            </a:solidFill>
            <a:round/>
          </a:ln>
        </c:spPr>
        <c:txPr>
          <a:bodyPr/>
          <a:lstStyle/>
          <a:p>
            <a:pPr>
              <a:defRPr b="0" sz="1000" spc="-1" strike="noStrike">
                <a:solidFill>
                  <a:srgbClr val="000000"/>
                </a:solidFill>
                <a:latin typeface="Calibri"/>
              </a:defRPr>
            </a:pPr>
          </a:p>
        </c:txPr>
        <c:crossAx val="37970447"/>
        <c:crosses val="autoZero"/>
        <c:crossBetween val="midCat"/>
      </c:valAx>
      <c:spPr>
        <a:solidFill>
          <a:srgbClr val="ffffff"/>
        </a:solidFill>
        <a:ln>
          <a:solidFill>
            <a:srgbClr val="0a128c"/>
          </a:solidFill>
        </a:ln>
      </c:spPr>
    </c:plotArea>
    <c:legend>
      <c:legendPos val="r"/>
      <c:overlay val="0"/>
      <c:spPr>
        <a:noFill/>
        <a:ln>
          <a:noFill/>
        </a:ln>
      </c:spPr>
      <c:txPr>
        <a:bodyPr/>
        <a:lstStyle/>
        <a:p>
          <a:pPr>
            <a:defRPr b="0" sz="1000" spc="-1" strike="noStrike">
              <a:solidFill>
                <a:srgbClr val="000000"/>
              </a:solidFill>
              <a:latin typeface="Calibri"/>
            </a:defRPr>
          </a:pPr>
        </a:p>
      </c:txPr>
    </c:legend>
    <c:plotVisOnly val="1"/>
    <c:dispBlanksAs val="gap"/>
  </c:chart>
  <c:spPr>
    <a:solidFill>
      <a:srgbClr val="ffffff"/>
    </a:solidFill>
    <a:ln>
      <a:noFill/>
    </a:ln>
  </c:spPr>
</c:chartSpac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LibreOffice/6.0.7.3$Linux_X86_64 LibreOffice_project/00m0$Build-3</Application>
  <Pages>2</Pages>
  <Words>20</Words>
  <Characters>121</Characters>
  <CharactersWithSpaces>136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2024-02-13T15:35:16Z</dcterms:created>
  <dc:creator/>
  <dc:description/>
  <dc:language>en-IN</dc:language>
  <cp:lastModifiedBy/>
  <dcterms:modified xsi:type="dcterms:W3CDTF">2024-02-13T15:39:23Z</dcterms:modified>
  <cp:revision>1</cp:revision>
  <dc:subject/>
  <dc:title/>
</cp:coreProperties>
</file>